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58"/>
          <w:szCs w:val="5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58"/>
          <w:szCs w:val="5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58"/>
          <w:szCs w:val="5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58"/>
          <w:szCs w:val="5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58"/>
          <w:szCs w:val="5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1"/>
          <w:strike w:val="0"/>
          <w:color w:val="000000"/>
          <w:sz w:val="58"/>
          <w:szCs w:val="5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58"/>
          <w:szCs w:val="58"/>
          <w:u w:val="none"/>
          <w:shd w:fill="auto" w:val="clear"/>
          <w:vertAlign w:val="baseline"/>
          <w:rtl w:val="0"/>
        </w:rPr>
        <w:t xml:space="preserve">Vickie </w:t>
      </w:r>
      <w:r w:rsidDel="00000000" w:rsidR="00000000" w:rsidRPr="00000000">
        <w:rPr>
          <w:rFonts w:ascii="Times New Roman" w:cs="Times New Roman" w:eastAsia="Times New Roman" w:hAnsi="Times New Roman"/>
          <w:b w:val="1"/>
          <w:i w:val="0"/>
          <w:smallCaps w:val="1"/>
          <w:strike w:val="0"/>
          <w:color w:val="c00000"/>
          <w:sz w:val="58"/>
          <w:szCs w:val="58"/>
          <w:u w:val="none"/>
          <w:shd w:fill="auto" w:val="clear"/>
          <w:vertAlign w:val="baseline"/>
          <w:rtl w:val="0"/>
        </w:rPr>
        <w:t xml:space="preserve">Sanders</w:t>
      </w:r>
      <w:r w:rsidDel="00000000" w:rsidR="00000000" w:rsidRPr="00000000">
        <w:rPr>
          <w:rtl w:val="0"/>
        </w:rPr>
      </w:r>
    </w:p>
    <w:tbl>
      <w:tblPr>
        <w:tblStyle w:val="Table1"/>
        <w:tblW w:w="10560.0" w:type="dxa"/>
        <w:jc w:val="left"/>
        <w:tblInd w:w="0.0" w:type="dxa"/>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60" w:lineRule="auto"/>
              <w:ind w:left="100" w:right="100" w:firstLine="0"/>
              <w:jc w:val="righ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20" w:lineRule="auto"/>
              <w:ind w:left="100" w:right="100" w:firstLine="0"/>
              <w:jc w:val="righ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 Erie, PA 19103   | (H) (555) 555-5555 (C)(555) 555-5555 | example@example.com     </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0" w:line="60" w:lineRule="auto"/>
              <w:ind w:left="100" w:right="100" w:firstLine="0"/>
              <w:jc w:val="righ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Summary Statement</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Core Qualifications</w:t>
      </w:r>
    </w:p>
    <w:tbl>
      <w:tblPr>
        <w:tblStyle w:val="Table2"/>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1">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Education</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Business Management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Philadelphia, PA</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Philadelphia, PA</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Work Experience</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06/2017 to Current </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Company City, Company State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3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03/2013 to 06/2017 </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Company City, Company State </w:t>
      </w:r>
    </w:p>
    <w:p w:rsidR="00000000" w:rsidDel="00000000" w:rsidP="00000000" w:rsidRDefault="00000000" w:rsidRPr="00000000" w14:paraId="00000044">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out our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guide to transferable 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Research Experience</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Supervisor/Advisor, Month, Year – Month, Year</w:t>
      </w:r>
    </w:p>
    <w:p w:rsidR="00000000" w:rsidDel="00000000" w:rsidP="00000000" w:rsidRDefault="00000000" w:rsidRPr="00000000" w14:paraId="0000004C">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Optional Sections:</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Publications</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Sanders, Vicky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Impact of Secretaries in a Company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Presentations</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9">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Women in Secretarial Sciences World Summit (2021),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Conference of Business Managers (2021),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Licenses and Certifications</w:t>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180" w:before="28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Awards and Honors</w:t>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500" w:top="50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cIn1gpb67QMS5HNUfX3Dspwog==">AMUW2mV8rDEZqbj2S+dt5Jfp+/Q25jH149tPMGNsemeLNVFqovDY6EepSgTrEbPq86dGneRJ3bJRjkpOgJc0mvz+8tbVzLTaUljzELZ1JJCZQ4AjA7i9HWQ=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