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60"/>
          <w:szCs w:val="6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60"/>
          <w:szCs w:val="6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60"/>
          <w:szCs w:val="6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60"/>
          <w:szCs w:val="6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60"/>
          <w:szCs w:val="6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60"/>
          <w:szCs w:val="6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b w:val="1"/>
          <w:smallCaps w:val="1"/>
          <w:sz w:val="60"/>
          <w:szCs w:val="6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1"/>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60"/>
          <w:szCs w:val="60"/>
          <w:u w:val="none"/>
          <w:shd w:fill="auto" w:val="clear"/>
          <w:vertAlign w:val="baseline"/>
          <w:rtl w:val="0"/>
        </w:rPr>
        <w:t xml:space="preserve">Vickie </w:t>
      </w:r>
      <w:r w:rsidDel="00000000" w:rsidR="00000000" w:rsidRPr="00000000">
        <w:rPr>
          <w:rFonts w:ascii="Times New Roman" w:cs="Times New Roman" w:eastAsia="Times New Roman" w:hAnsi="Times New Roman"/>
          <w:b w:val="1"/>
          <w:i w:val="0"/>
          <w:smallCaps w:val="1"/>
          <w:strike w:val="0"/>
          <w:color w:val="0187de"/>
          <w:sz w:val="60"/>
          <w:szCs w:val="60"/>
          <w:u w:val="none"/>
          <w:shd w:fill="auto" w:val="clear"/>
          <w:vertAlign w:val="baseline"/>
          <w:rtl w:val="0"/>
        </w:rPr>
        <w:t xml:space="preserve">Sanders</w:t>
      </w:r>
      <w:r w:rsidDel="00000000" w:rsidR="00000000" w:rsidRPr="00000000">
        <w:rPr>
          <w:rtl w:val="0"/>
        </w:rPr>
      </w:r>
    </w:p>
    <w:tbl>
      <w:tblPr>
        <w:tblStyle w:val="Table1"/>
        <w:tblW w:w="10560.0" w:type="dxa"/>
        <w:jc w:val="left"/>
        <w:tblInd w:w="0.0" w:type="dxa"/>
        <w:tblLayout w:type="fixed"/>
        <w:tblLook w:val="0400"/>
      </w:tblPr>
      <w:tblGrid>
        <w:gridCol w:w="10560"/>
        <w:tblGridChange w:id="0">
          <w:tblGrid>
            <w:gridCol w:w="10560"/>
          </w:tblGrid>
        </w:tblGridChange>
      </w:tblGrid>
      <w:tr>
        <w:trPr>
          <w:cantSplit w:val="0"/>
          <w:tblHeader w:val="0"/>
        </w:trPr>
        <w:tc>
          <w:tcPr>
            <w:shd w:fill="000000" w:val="clear"/>
            <w:tcMar>
              <w:top w:w="5.0" w:type="dxa"/>
              <w:left w:w="5.0" w:type="dxa"/>
              <w:bottom w:w="5.0" w:type="dxa"/>
              <w:right w:w="5.0" w:type="dxa"/>
            </w:tcMar>
            <w:vAlign w:val="center"/>
          </w:tcPr>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40" w:line="60" w:lineRule="auto"/>
              <w:ind w:left="100" w:right="100" w:firstLine="0"/>
              <w:jc w:val="right"/>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100" w:right="100" w:firstLine="0"/>
              <w:jc w:val="right"/>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 Erie, PA 19103   | (H) (555) 555-5555 (C)(555) 555-5555 | example@example.com     </w:t>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0" w:line="60" w:lineRule="auto"/>
              <w:ind w:left="100" w:right="100" w:firstLine="0"/>
              <w:jc w:val="right"/>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187de" w:space="3" w:sz="8" w:val="single"/>
          <w:right w:color="000000" w:space="0" w:sz="0" w:val="none"/>
          <w:between w:space="0" w:sz="0" w:val="nil"/>
        </w:pBdr>
        <w:shd w:fill="auto" w:val="clear"/>
        <w:spacing w:after="140" w:before="28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Summary Statement</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187de" w:space="3" w:sz="8" w:val="single"/>
          <w:right w:color="000000" w:space="0" w:sz="0" w:val="none"/>
          <w:between w:space="0" w:sz="0" w:val="nil"/>
        </w:pBdr>
        <w:shd w:fill="auto" w:val="clear"/>
        <w:spacing w:after="140" w:before="28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Core Qualifications</w:t>
      </w:r>
    </w:p>
    <w:tbl>
      <w:tblPr>
        <w:tblStyle w:val="Table2"/>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2C">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2E">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187de" w:space="3" w:sz="8" w:val="single"/>
          <w:right w:color="000000" w:space="0" w:sz="0" w:val="none"/>
          <w:between w:space="0" w:sz="0" w:val="nil"/>
        </w:pBdr>
        <w:shd w:fill="auto" w:val="clear"/>
        <w:spacing w:after="140" w:before="28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Education</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Master of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Business Management </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Arcadia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Philadelphia, PA</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with your current or most recent degree and go backward.</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Bachelor of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Secretarial Studies And Office Administration </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Arcadia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Philadelphia, PA</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187de" w:space="3" w:sz="8" w:val="single"/>
          <w:right w:color="000000" w:space="0" w:sz="0" w:val="none"/>
          <w:between w:space="0" w:sz="0" w:val="nil"/>
        </w:pBdr>
        <w:shd w:fill="auto" w:val="clear"/>
        <w:spacing w:after="140" w:before="28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Work Experience</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Current 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06/2017 to Current </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Company City, Company State </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A">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Previous 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03/2013 to 06/2017 </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Company City, Company State </w:t>
      </w:r>
    </w:p>
    <w:p w:rsidR="00000000" w:rsidDel="00000000" w:rsidP="00000000" w:rsidRDefault="00000000" w:rsidRPr="00000000" w14:paraId="0000003F">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out our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guide to transferable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187de" w:space="3" w:sz="8" w:val="single"/>
          <w:right w:color="000000" w:space="0" w:sz="0" w:val="none"/>
          <w:between w:space="0" w:sz="0" w:val="nil"/>
        </w:pBdr>
        <w:shd w:fill="auto" w:val="clear"/>
        <w:spacing w:after="140" w:before="28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Research Experience</w:t>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Supervisor/Advisor, Month, Year – Month, Year</w:t>
      </w:r>
    </w:p>
    <w:p w:rsidR="00000000" w:rsidDel="00000000" w:rsidP="00000000" w:rsidRDefault="00000000" w:rsidRPr="00000000" w14:paraId="00000047">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187de" w:space="3" w:sz="8" w:val="single"/>
          <w:right w:color="000000" w:space="0" w:sz="0" w:val="none"/>
          <w:between w:space="0" w:sz="0" w:val="nil"/>
        </w:pBdr>
        <w:shd w:fill="auto" w:val="clear"/>
        <w:spacing w:after="140" w:before="28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Optional Sections:</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187de" w:space="3" w:sz="8" w:val="single"/>
          <w:right w:color="000000" w:space="0" w:sz="0" w:val="none"/>
          <w:between w:space="0" w:sz="0" w:val="nil"/>
        </w:pBdr>
        <w:shd w:fill="auto" w:val="clear"/>
        <w:spacing w:after="140" w:before="28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Publications</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Sanders, Vicky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Impact of Secretaries in a Company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187de" w:space="3" w:sz="8" w:val="single"/>
          <w:right w:color="000000" w:space="0" w:sz="0" w:val="none"/>
          <w:between w:space="0" w:sz="0" w:val="nil"/>
        </w:pBdr>
        <w:shd w:fill="auto" w:val="clear"/>
        <w:spacing w:after="140" w:before="28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Presentations</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 in Secretarial Sciences World Summit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Conference of Business Managers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187de" w:space="3" w:sz="8" w:val="single"/>
          <w:right w:color="000000" w:space="0" w:sz="0" w:val="none"/>
          <w:between w:space="0" w:sz="0" w:val="nil"/>
        </w:pBdr>
        <w:shd w:fill="auto" w:val="clear"/>
        <w:spacing w:after="140" w:before="28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Awards and Honors</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Admin Awards, The Colleen Barrett Award for Administrative Excellence, 2020</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187de" w:space="3" w:sz="8" w:val="single"/>
          <w:right w:color="000000" w:space="0" w:sz="0" w:val="none"/>
          <w:between w:space="0" w:sz="0" w:val="nil"/>
        </w:pBdr>
        <w:shd w:fill="auto" w:val="clear"/>
        <w:spacing w:after="140" w:before="28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Licenses and Certifications</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61">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YpW4wiXUnPC53CrQ0TAqVSFrXw==">AMUW2mWkLqEUPkQQclAl4fWJkGorg3WzTZZxqhsZc3GN0JFAeydWa2Y+GbqxrdsbqGQYanLk9htfyU+qW5kxQ6X5PE9IDljzo/k8uZOLIANa/MDKqzeRtSc=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